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38" w:rsidRPr="00136938" w:rsidRDefault="00136938" w:rsidP="001369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36938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>ANTI - FOULINGS</w:t>
      </w:r>
      <w:r w:rsidRPr="00136938">
        <w:rPr>
          <w:rFonts w:ascii="Arial" w:eastAsia="Times New Roman" w:hAnsi="Arial" w:cs="Arial"/>
          <w:spacing w:val="100"/>
          <w:sz w:val="24"/>
          <w:szCs w:val="24"/>
          <w:lang w:val="en-US" w:eastAsia="fr-FR"/>
        </w:rPr>
        <w:t xml:space="preserve"> </w:t>
      </w:r>
      <w:r w:rsidRPr="00136938">
        <w:rPr>
          <w:rFonts w:ascii="Arial" w:eastAsia="Times New Roman" w:hAnsi="Arial" w:cs="Arial"/>
          <w:spacing w:val="100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4" o:title=""/>
          </v:shape>
          <w:control r:id="rId5" w:name="Objet 1" w:shapeid="_x0000_i1025"/>
        </w:object>
      </w:r>
    </w:p>
    <w:p w:rsidR="00136938" w:rsidRPr="00136938" w:rsidRDefault="00136938" w:rsidP="001369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Since the long expected global ban on TBT based </w:t>
      </w:r>
      <w:proofErr w:type="spellStart"/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>antifoulings</w:t>
      </w:r>
      <w:proofErr w:type="spellEnd"/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JOTUN's relentless efforts for the past years have paid off, to develop and test an even better antifouling system without the use of </w:t>
      </w:r>
      <w:proofErr w:type="spellStart"/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>organo-tin.JOTUN</w:t>
      </w:r>
      <w:proofErr w:type="spellEnd"/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136938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  <w:t>Seaqueen</w:t>
      </w:r>
      <w:proofErr w:type="spellEnd"/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and JOTUN </w:t>
      </w:r>
      <w:proofErr w:type="spellStart"/>
      <w:r w:rsidRPr="00136938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  <w:t>SeaQuantum</w:t>
      </w:r>
      <w:proofErr w:type="spellEnd"/>
      <w:r w:rsidRPr="00136938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  <w:t xml:space="preserve"> Classic</w:t>
      </w:r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, plus JOTUN </w:t>
      </w:r>
      <w:proofErr w:type="spellStart"/>
      <w:r w:rsidRPr="00136938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  <w:t>SeaAlu</w:t>
      </w:r>
      <w:proofErr w:type="spellEnd"/>
      <w:r w:rsidRPr="0013693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are the NEW products best suited for Yachts in the difficult Caribbean waters.</w:t>
      </w:r>
    </w:p>
    <w:p w:rsidR="00136938" w:rsidRPr="00136938" w:rsidRDefault="00136938" w:rsidP="001369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36938"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  <w:t xml:space="preserve">Key </w:t>
      </w:r>
      <w:proofErr w:type="spellStart"/>
      <w:r w:rsidRPr="00136938"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  <w:t>Benefits</w:t>
      </w:r>
      <w:proofErr w:type="spellEnd"/>
      <w:r w:rsidRPr="00136938"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2"/>
        <w:gridCol w:w="8820"/>
      </w:tblGrid>
      <w:tr w:rsidR="00136938" w:rsidRPr="00136938" w:rsidTr="00136938">
        <w:trPr>
          <w:tblCellSpacing w:w="0" w:type="dxa"/>
          <w:jc w:val="center"/>
        </w:trPr>
        <w:tc>
          <w:tcPr>
            <w:tcW w:w="630" w:type="dxa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0970" cy="140970"/>
                  <wp:effectExtent l="19050" t="0" r="0" b="0"/>
                  <wp:docPr id="2" name="Image 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3693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n-US" w:eastAsia="fr-FR"/>
              </w:rPr>
              <w:t>SeaQuantum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 xml:space="preserve"> represents a quantum leap for </w:t>
            </w:r>
            <w:proofErr w:type="spellStart"/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>hydrolizing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 xml:space="preserve"> and self-polishing anti-fouling action, resulting in outstanding lifetime. </w:t>
            </w:r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It </w:t>
            </w:r>
            <w:proofErr w:type="spellStart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is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most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advanced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system on </w:t>
            </w:r>
            <w:proofErr w:type="spellStart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today's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market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136938" w:rsidRPr="00136938" w:rsidTr="00136938">
        <w:trPr>
          <w:tblCellSpacing w:w="0" w:type="dxa"/>
          <w:jc w:val="center"/>
        </w:trPr>
        <w:tc>
          <w:tcPr>
            <w:tcW w:w="630" w:type="dxa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0970" cy="140970"/>
                  <wp:effectExtent l="19050" t="0" r="0" b="0"/>
                  <wp:docPr id="3" name="Image 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1369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Seaqueen</w:t>
            </w:r>
            <w:proofErr w:type="spellEnd"/>
            <w:r w:rsidRPr="001369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 xml:space="preserve">is a traditional, reasonably priced, self-polishing AF using a newly developed biocide booster with outstanding performance. </w:t>
            </w:r>
          </w:p>
        </w:tc>
      </w:tr>
      <w:tr w:rsidR="00136938" w:rsidRPr="00136938" w:rsidTr="00136938">
        <w:trPr>
          <w:tblCellSpacing w:w="0" w:type="dxa"/>
          <w:jc w:val="center"/>
        </w:trPr>
        <w:tc>
          <w:tcPr>
            <w:tcW w:w="630" w:type="dxa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0970" cy="140970"/>
                  <wp:effectExtent l="19050" t="0" r="0" b="0"/>
                  <wp:docPr id="4" name="Image 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1369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Jotun</w:t>
            </w:r>
            <w:proofErr w:type="spellEnd"/>
            <w:r w:rsidRPr="001369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1369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SeaAlu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> is the product of choice for Aluminum vessels, metallic copper-free, and thus preventing galvanic corrosion.</w:t>
            </w:r>
          </w:p>
        </w:tc>
      </w:tr>
      <w:tr w:rsidR="00136938" w:rsidRPr="00136938" w:rsidTr="00136938">
        <w:trPr>
          <w:tblCellSpacing w:w="0" w:type="dxa"/>
          <w:jc w:val="center"/>
        </w:trPr>
        <w:tc>
          <w:tcPr>
            <w:tcW w:w="630" w:type="dxa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0970" cy="140970"/>
                  <wp:effectExtent l="19050" t="0" r="0" b="0"/>
                  <wp:docPr id="5" name="Image 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36938" w:rsidRPr="00136938" w:rsidRDefault="00136938" w:rsidP="001369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 xml:space="preserve">Available also in Grenada, Antigua, </w:t>
            </w:r>
            <w:proofErr w:type="spellStart"/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>St.Lucia</w:t>
            </w:r>
            <w:proofErr w:type="spellEnd"/>
            <w:r w:rsidRPr="00136938"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  <w:t xml:space="preserve"> and Margarita. </w:t>
            </w:r>
          </w:p>
        </w:tc>
      </w:tr>
    </w:tbl>
    <w:p w:rsidR="00136938" w:rsidRPr="00136938" w:rsidRDefault="00136938" w:rsidP="001369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</w:p>
    <w:p w:rsidR="00555857" w:rsidRPr="00136938" w:rsidRDefault="00555857">
      <w:pPr>
        <w:rPr>
          <w:lang w:val="en-US"/>
        </w:rPr>
      </w:pPr>
    </w:p>
    <w:sectPr w:rsidR="00555857" w:rsidRPr="00136938" w:rsidSect="0055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36938"/>
    <w:rsid w:val="00136938"/>
    <w:rsid w:val="0024060A"/>
    <w:rsid w:val="00555857"/>
    <w:rsid w:val="00A46C92"/>
    <w:rsid w:val="00DE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57"/>
  </w:style>
  <w:style w:type="paragraph" w:styleId="Titre3">
    <w:name w:val="heading 3"/>
    <w:basedOn w:val="Normal"/>
    <w:link w:val="Titre3Car"/>
    <w:uiPriority w:val="9"/>
    <w:qFormat/>
    <w:rsid w:val="001369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3693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36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82">
    <w:name w:val="style82"/>
    <w:basedOn w:val="Policepardfaut"/>
    <w:rsid w:val="00136938"/>
  </w:style>
  <w:style w:type="paragraph" w:customStyle="1" w:styleId="style821">
    <w:name w:val="style821"/>
    <w:basedOn w:val="Normal"/>
    <w:rsid w:val="00136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83">
    <w:name w:val="style83"/>
    <w:basedOn w:val="Policepardfaut"/>
    <w:rsid w:val="00136938"/>
  </w:style>
  <w:style w:type="paragraph" w:styleId="Textedebulles">
    <w:name w:val="Balloon Text"/>
    <w:basedOn w:val="Normal"/>
    <w:link w:val="TextedebullesCar"/>
    <w:uiPriority w:val="99"/>
    <w:semiHidden/>
    <w:unhideWhenUsed/>
    <w:rsid w:val="001369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2013-02-20T13:50:00Z</dcterms:created>
  <dcterms:modified xsi:type="dcterms:W3CDTF">2013-02-20T13:51:00Z</dcterms:modified>
</cp:coreProperties>
</file>